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0EF3" w:rsidRPr="007B29DC" w:rsidRDefault="00D50EF3" w:rsidP="00D50EF3">
      <w:pPr>
        <w:jc w:val="center"/>
        <w:rPr>
          <w:u w:val="single"/>
        </w:rPr>
      </w:pPr>
      <w:r w:rsidRPr="007B29DC">
        <w:rPr>
          <w:u w:val="single"/>
        </w:rPr>
        <w:t>INJECTION WELLS ENDANGER OUR AQUIFERS</w:t>
      </w:r>
    </w:p>
    <w:p w:rsidR="00D50EF3" w:rsidRDefault="00D50EF3" w:rsidP="00D50EF3">
      <w:r>
        <w:t xml:space="preserve">The underground injection of fracking waste threatens California’s remaining fresh water. My friends at 350bayarea.org would bring this issue to greater public attention. Towards that goal in Davis, I have organized an informational meeting with Andrew </w:t>
      </w:r>
      <w:proofErr w:type="spellStart"/>
      <w:r>
        <w:t>Grinberg</w:t>
      </w:r>
      <w:proofErr w:type="spellEnd"/>
      <w:r>
        <w:t xml:space="preserve">, who heads the oil/gas division of Clean Water Action, as our speaker. He will advocate for Assembly Bill 356, which will increase the regulation of injection wells in California. The meeting will be on Monday, May 11 at 6:30 PM in the Davis public library, Blanchard Room. This article will, hopefully, provide basic information and whet appetites for the meeting.  </w:t>
      </w:r>
    </w:p>
    <w:p w:rsidR="00D50EF3" w:rsidRDefault="00D50EF3" w:rsidP="00D50EF3">
      <w:r>
        <w:t xml:space="preserve">Injection wells allow placement of fluids underground. They are used for extraction of natural resources, disposal of industrial waste and storage of hydrocarbons and CO2. </w:t>
      </w:r>
    </w:p>
    <w:p w:rsidR="00D50EF3" w:rsidRDefault="00D50EF3" w:rsidP="00D50EF3">
      <w:r>
        <w:t xml:space="preserve">There are six classes of injection wells. Class II wells inject fluids associated with oil/gas production and includes three types:  wells for extracting oil/gas (fracking wells fall in this group), disposal wells for fracking waste and hydrocarbon storage wells (part of the US Strategic Petroleum Reserve). </w:t>
      </w:r>
    </w:p>
    <w:p w:rsidR="00D50EF3" w:rsidRDefault="00D50EF3" w:rsidP="00D50EF3">
      <w:r>
        <w:t xml:space="preserve">Injection wells are regulated by the EPA under the Safe Drinking Water Act (SDWA) of 1974. However, in 2005, Congress exempted </w:t>
      </w:r>
      <w:proofErr w:type="spellStart"/>
      <w:r>
        <w:t>hydrofracking</w:t>
      </w:r>
      <w:proofErr w:type="spellEnd"/>
      <w:r>
        <w:t xml:space="preserve"> from EPA regulation; consequently, the EPA does not regulate Class II production wells. This exemption is known as the Halliburton Loophole.  Attempts to reverse this regulation have been unsuccessful.</w:t>
      </w:r>
    </w:p>
    <w:p w:rsidR="00D50EF3" w:rsidRDefault="00D50EF3" w:rsidP="00D50EF3">
      <w:r>
        <w:t xml:space="preserve">In 1983, California’s Department of Conservation, Division of Oil, Gas and Geothermal Resources (DOGGR) was granted primacy of regulation of Class II wells in our state. This decision is reversible. </w:t>
      </w:r>
    </w:p>
    <w:p w:rsidR="00D50EF3" w:rsidRDefault="00D50EF3" w:rsidP="00D50EF3">
      <w:r>
        <w:t xml:space="preserve">Here follow two critiques of our regulatory agencies. Both DOGGR and EPA understate the hazards of Class II fluids. The House Energy and Commerce Committee (2010) identified chemicals known to be carcinogens in the injected mix. As fracking waste would include the injected cocktail plus salts and naturally occurring radon leached by fracking, waste fluids must also contain hazardous materials. </w:t>
      </w:r>
      <w:proofErr w:type="gramStart"/>
      <w:r>
        <w:t>Yet  DOGGR’s</w:t>
      </w:r>
      <w:proofErr w:type="gramEnd"/>
      <w:r>
        <w:t xml:space="preserve"> website describes fluids as “mostly brine.” EPA, at least, names “toxic metals and radioactive substances” that “can be very damaging to the environment and to public health…..”  </w:t>
      </w:r>
    </w:p>
    <w:p w:rsidR="00D50EF3" w:rsidRDefault="00D50EF3" w:rsidP="00D50EF3">
      <w:r>
        <w:t>The second critique is that both agencies have allowed the regulation of injections wells to be based on exception status rather than on the absolute standards of ground water quality. This allowed for a great deal of administrative mischief.</w:t>
      </w:r>
    </w:p>
    <w:p w:rsidR="00D50EF3" w:rsidRDefault="00D50EF3" w:rsidP="00D50EF3">
      <w:r>
        <w:t>The EPA set the threshold of current and potential sources of drinking water at &lt; 10,000 mg TDS/l (less than 10,000 mg Total Dissolved Solids per liter).  When DOGGR took primacy of Class II wells in 1983, it applied for exemptions to allow continued injection into 11 aquifers with TDS &lt; 3,000.  These exemptions were not allowed per Memorandum of Agreement 1 (MOA 1). However, less than 10 weeks later, MOA 2 declared these 11 aquifers exempt and the signatures on MOA 1 were photocopied onto MOA 2. The above information is from a 3/2/</w:t>
      </w:r>
      <w:proofErr w:type="gramStart"/>
      <w:r>
        <w:t xml:space="preserve">15  </w:t>
      </w:r>
      <w:proofErr w:type="spellStart"/>
      <w:r>
        <w:t>CalEPA</w:t>
      </w:r>
      <w:proofErr w:type="spellEnd"/>
      <w:proofErr w:type="gramEnd"/>
      <w:r>
        <w:t xml:space="preserve"> review of injection wells; this review attributed the oversight in regulation to confusion over which memo was valid. </w:t>
      </w:r>
    </w:p>
    <w:p w:rsidR="00D50EF3" w:rsidRDefault="00D50EF3" w:rsidP="00D50EF3">
      <w:r>
        <w:t>The discrepancy in memos was only recognized by DOGGR in 2011. In 2014, the Central Valley water board found injections wells operating in sub 3,000 TDS mg/l aquifers.  Apparently, no other local water board was aware of problems.</w:t>
      </w:r>
    </w:p>
    <w:p w:rsidR="00D50EF3" w:rsidRDefault="00D50EF3" w:rsidP="00D50EF3">
      <w:r>
        <w:lastRenderedPageBreak/>
        <w:t xml:space="preserve">The Cal-EPA memo of 3/2/15 reported on the ensuing investigation: 2500 production and disposal wells have been discharging into aquifers suitable for drinking. Of these, 2100 wells are still active. Of active wells, 140 are injecting into aquifers of &lt; 3,000 mg TDS/l and 1,960 wells are in aquifers with TDS/l between 3,000 and 10,000 mg TDS/l. </w:t>
      </w:r>
    </w:p>
    <w:p w:rsidR="00D50EF3" w:rsidRDefault="00D50EF3" w:rsidP="00D50EF3">
      <w:r>
        <w:t xml:space="preserve">Cal-EPA has shut down 23 of the offending wells and proposes to shut down the wells in aquifers with &lt;3,000 TDS mg/l in October 2015 “or immediately if potentially impacting water supplies.” For wells in aquifers between 3,000 and 10,000 mg/l TDS, the </w:t>
      </w:r>
      <w:proofErr w:type="spellStart"/>
      <w:r>
        <w:t>shut down</w:t>
      </w:r>
      <w:proofErr w:type="spellEnd"/>
      <w:r>
        <w:t xml:space="preserve"> is proposed for 2/14/17, pending review of their exemption status.  </w:t>
      </w:r>
    </w:p>
    <w:p w:rsidR="00D50EF3" w:rsidRDefault="00D50EF3" w:rsidP="00D50EF3">
      <w:r>
        <w:t xml:space="preserve">Note: In the above two paragraphs, the TDS numbers are my substitutions for the </w:t>
      </w:r>
      <w:proofErr w:type="spellStart"/>
      <w:r>
        <w:t>CalEPA</w:t>
      </w:r>
      <w:proofErr w:type="spellEnd"/>
      <w:r>
        <w:t xml:space="preserve"> terms  “exempt” or “nonexempt.”  Exemption status is subject to bureaucratic manipulation, confusing and artificial; it is the quality of the endangered aquifers, based on the absolute criterion of TDS </w:t>
      </w:r>
      <w:proofErr w:type="gramStart"/>
      <w:r>
        <w:t>counts, that</w:t>
      </w:r>
      <w:proofErr w:type="gramEnd"/>
      <w:r>
        <w:t xml:space="preserve"> is critical. </w:t>
      </w:r>
    </w:p>
    <w:p w:rsidR="00D50EF3" w:rsidRDefault="00D50EF3" w:rsidP="00D50EF3">
      <w:r>
        <w:t xml:space="preserve">Sixteen state legislators, including Senator </w:t>
      </w:r>
      <w:proofErr w:type="spellStart"/>
      <w:r>
        <w:t>Wolk</w:t>
      </w:r>
      <w:proofErr w:type="spellEnd"/>
      <w:r>
        <w:t xml:space="preserve">, have expressed concerns regarding the above Cal-EPA memo in a letter of 4/14/15 addressed to the reference attorney for the Department of Conservation. They find inadequate the closure of only 23 of the wells in violation of SDWA and ask for explanations of the proposed shut down dates of October 2015 and 2/15/17 for wells injecting into protected aquifers. In the absence of “appropriately placed groundwater monitoring”, they question the assertion that no contamination has been found.  They write, “Equally troubling is that these emergency regulations seem to prioritize and favor the oil and gas industry over the long term sustainability of California’s water supply, and other sectors that are being asked to make cutbacks.” They propose immediate cleanup of high quality aquifers in which injection has occurred. </w:t>
      </w:r>
    </w:p>
    <w:p w:rsidR="00D50EF3" w:rsidRDefault="00D50EF3" w:rsidP="00D50EF3">
      <w:r>
        <w:t xml:space="preserve">This is an extremely strong statement that should put the EPA and DOGGR on notice. I would add our state budget is assuming costs relating to environmental damage from fracking. Perhaps the bill should go to the polluters. </w:t>
      </w:r>
    </w:p>
    <w:p w:rsidR="00D50EF3" w:rsidRDefault="00D50EF3" w:rsidP="00D50EF3">
      <w:r>
        <w:t xml:space="preserve">I hope this background stirs public awareness and action. To paraphrase Ben Franklin, democracy and water belong to those who can keep it. </w:t>
      </w:r>
    </w:p>
    <w:p w:rsidR="00D50EF3" w:rsidRDefault="00D50EF3" w:rsidP="00D50EF3">
      <w:r>
        <w:t xml:space="preserve">Please address questions to me at </w:t>
      </w:r>
      <w:hyperlink r:id="rId5" w:history="1">
        <w:r w:rsidRPr="00C73640">
          <w:rPr>
            <w:rStyle w:val="Hyperlink"/>
          </w:rPr>
          <w:t>zbox@dcn.org</w:t>
        </w:r>
      </w:hyperlink>
      <w:r>
        <w:t>.</w:t>
      </w:r>
    </w:p>
    <w:p w:rsidR="00D50EF3" w:rsidRDefault="00D50EF3" w:rsidP="00D50EF3">
      <w:r>
        <w:t>Mary M Zhu</w:t>
      </w:r>
    </w:p>
    <w:p w:rsidR="00D6506F" w:rsidRDefault="00D6506F">
      <w:bookmarkStart w:id="0" w:name="_GoBack"/>
      <w:bookmarkEnd w:id="0"/>
    </w:p>
    <w:sectPr w:rsidR="00D650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0EF3"/>
    <w:rsid w:val="00D50EF3"/>
    <w:rsid w:val="00D650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EF3"/>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0EF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EF3"/>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0EF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zbox@dcn.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859</Words>
  <Characters>4897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Nittler</dc:creator>
  <cp:lastModifiedBy>Ken Nittler</cp:lastModifiedBy>
  <cp:revision>1</cp:revision>
  <dcterms:created xsi:type="dcterms:W3CDTF">2015-05-04T05:02:00Z</dcterms:created>
  <dcterms:modified xsi:type="dcterms:W3CDTF">2015-05-04T05:02:00Z</dcterms:modified>
</cp:coreProperties>
</file>